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59EC" w14:textId="34722087" w:rsidR="008F2BEB" w:rsidRPr="00EE6C13" w:rsidRDefault="008F2BEB" w:rsidP="008607DC">
      <w:pPr>
        <w:spacing w:after="0" w:line="276" w:lineRule="auto"/>
        <w:jc w:val="center"/>
        <w:rPr>
          <w:b/>
          <w:bCs/>
          <w:sz w:val="20"/>
          <w:szCs w:val="20"/>
        </w:rPr>
      </w:pPr>
      <w:r w:rsidRPr="00EE6C13">
        <w:rPr>
          <w:b/>
          <w:bCs/>
          <w:sz w:val="20"/>
          <w:szCs w:val="20"/>
        </w:rPr>
        <w:t>PSALM 2:7</w:t>
      </w:r>
    </w:p>
    <w:p w14:paraId="66D7C57B" w14:textId="77777777" w:rsidR="008F2BEB" w:rsidRPr="008F2BEB" w:rsidRDefault="008F2BEB" w:rsidP="008607DC">
      <w:pPr>
        <w:spacing w:after="0" w:line="276" w:lineRule="auto"/>
        <w:jc w:val="both"/>
        <w:rPr>
          <w:sz w:val="20"/>
          <w:szCs w:val="20"/>
        </w:rPr>
      </w:pPr>
    </w:p>
    <w:p w14:paraId="32950089" w14:textId="6CE16426" w:rsidR="00B61F41" w:rsidRDefault="008F2BEB" w:rsidP="008607DC">
      <w:pPr>
        <w:spacing w:after="0" w:line="276" w:lineRule="auto"/>
        <w:jc w:val="both"/>
        <w:rPr>
          <w:sz w:val="20"/>
          <w:szCs w:val="20"/>
        </w:rPr>
      </w:pPr>
      <w:r w:rsidRPr="008F2BEB">
        <w:rPr>
          <w:sz w:val="20"/>
          <w:szCs w:val="20"/>
        </w:rPr>
        <w:t>“I will declare the decree: The Lord has said to Me, ‘You are My Son, Today I have begotten You.’”</w:t>
      </w:r>
      <w:r>
        <w:rPr>
          <w:sz w:val="20"/>
          <w:szCs w:val="20"/>
        </w:rPr>
        <w:t xml:space="preserve"> The second Psalm has long been regarded as “Messianic” (i.e., pertaining to the Messiah or Christ). Like many prophecies concerning Christ, there is </w:t>
      </w:r>
      <w:r w:rsidRPr="008F2BEB">
        <w:rPr>
          <w:b/>
          <w:bCs/>
          <w:i/>
          <w:iCs/>
          <w:sz w:val="20"/>
          <w:szCs w:val="20"/>
        </w:rPr>
        <w:t>an immediate application</w:t>
      </w:r>
      <w:r>
        <w:rPr>
          <w:sz w:val="20"/>
          <w:szCs w:val="20"/>
        </w:rPr>
        <w:t xml:space="preserve"> to the time in which it was written, as well as </w:t>
      </w:r>
      <w:r w:rsidRPr="008F2BEB">
        <w:rPr>
          <w:b/>
          <w:bCs/>
          <w:i/>
          <w:iCs/>
          <w:sz w:val="20"/>
          <w:szCs w:val="20"/>
        </w:rPr>
        <w:t>a future application</w:t>
      </w:r>
      <w:r>
        <w:rPr>
          <w:sz w:val="20"/>
          <w:szCs w:val="20"/>
        </w:rPr>
        <w:t xml:space="preserve"> to the Messiah. This is certainly true of Psalm 2. </w:t>
      </w:r>
      <w:r w:rsidR="002B186E">
        <w:rPr>
          <w:sz w:val="20"/>
          <w:szCs w:val="20"/>
        </w:rPr>
        <w:t>It has i</w:t>
      </w:r>
      <w:r>
        <w:rPr>
          <w:sz w:val="20"/>
          <w:szCs w:val="20"/>
        </w:rPr>
        <w:t>nitial reference to King David and his successors</w:t>
      </w:r>
      <w:r w:rsidR="002B186E">
        <w:rPr>
          <w:sz w:val="20"/>
          <w:szCs w:val="20"/>
        </w:rPr>
        <w:t>,</w:t>
      </w:r>
      <w:r>
        <w:rPr>
          <w:sz w:val="20"/>
          <w:szCs w:val="20"/>
        </w:rPr>
        <w:t xml:space="preserve"> </w:t>
      </w:r>
      <w:r w:rsidR="002B186E">
        <w:rPr>
          <w:sz w:val="20"/>
          <w:szCs w:val="20"/>
        </w:rPr>
        <w:t xml:space="preserve">each of whom are identified as God’s “son” </w:t>
      </w:r>
      <w:r>
        <w:rPr>
          <w:sz w:val="20"/>
          <w:szCs w:val="20"/>
        </w:rPr>
        <w:t>(2Sm.7:</w:t>
      </w:r>
      <w:r w:rsidR="002B186E">
        <w:rPr>
          <w:sz w:val="20"/>
          <w:szCs w:val="20"/>
        </w:rPr>
        <w:t>12-14; cp. Ps.89:20-29). Therefore, it is no great stretch to apply the same Psalm to the Messiah Himself</w:t>
      </w:r>
      <w:r w:rsidR="00EE6C13">
        <w:rPr>
          <w:sz w:val="20"/>
          <w:szCs w:val="20"/>
        </w:rPr>
        <w:t>, who is a son of David</w:t>
      </w:r>
      <w:r w:rsidR="002B186E">
        <w:rPr>
          <w:sz w:val="20"/>
          <w:szCs w:val="20"/>
        </w:rPr>
        <w:t xml:space="preserve"> (2Sm.7:15-17).</w:t>
      </w:r>
      <w:r w:rsidR="00B61F41">
        <w:rPr>
          <w:sz w:val="20"/>
          <w:szCs w:val="20"/>
        </w:rPr>
        <w:t xml:space="preserve"> In this article, we shall look at the way in which both David and Jesus are called “the Son of God.”</w:t>
      </w:r>
    </w:p>
    <w:p w14:paraId="1F79F3F2" w14:textId="77777777" w:rsidR="00B61F41" w:rsidRDefault="00B61F41" w:rsidP="008607DC">
      <w:pPr>
        <w:spacing w:after="0" w:line="276" w:lineRule="auto"/>
        <w:jc w:val="both"/>
        <w:rPr>
          <w:sz w:val="20"/>
          <w:szCs w:val="20"/>
        </w:rPr>
      </w:pPr>
    </w:p>
    <w:p w14:paraId="180FB001" w14:textId="46E2B6E4" w:rsidR="003571A0" w:rsidRDefault="00B61F41" w:rsidP="008607DC">
      <w:pPr>
        <w:spacing w:after="0" w:line="276" w:lineRule="auto"/>
        <w:jc w:val="both"/>
        <w:rPr>
          <w:sz w:val="20"/>
          <w:szCs w:val="20"/>
        </w:rPr>
      </w:pPr>
      <w:r>
        <w:rPr>
          <w:sz w:val="20"/>
          <w:szCs w:val="20"/>
        </w:rPr>
        <w:t xml:space="preserve">In Scripture, “sonship” carried </w:t>
      </w:r>
      <w:r w:rsidR="00EE6C13">
        <w:rPr>
          <w:sz w:val="20"/>
          <w:szCs w:val="20"/>
        </w:rPr>
        <w:t>great blessings with it</w:t>
      </w:r>
      <w:r>
        <w:rPr>
          <w:sz w:val="20"/>
          <w:szCs w:val="20"/>
        </w:rPr>
        <w:t xml:space="preserve">; and a </w:t>
      </w:r>
      <w:r w:rsidRPr="000A140D">
        <w:rPr>
          <w:b/>
          <w:bCs/>
          <w:i/>
          <w:iCs/>
          <w:sz w:val="20"/>
          <w:szCs w:val="20"/>
        </w:rPr>
        <w:t>“firstborn</w:t>
      </w:r>
      <w:r w:rsidR="000A140D" w:rsidRPr="000A140D">
        <w:rPr>
          <w:b/>
          <w:bCs/>
          <w:i/>
          <w:iCs/>
          <w:sz w:val="20"/>
          <w:szCs w:val="20"/>
        </w:rPr>
        <w:t>”</w:t>
      </w:r>
      <w:r>
        <w:rPr>
          <w:sz w:val="20"/>
          <w:szCs w:val="20"/>
        </w:rPr>
        <w:t xml:space="preserve"> son was considered to be </w:t>
      </w:r>
      <w:r w:rsidRPr="000A140D">
        <w:rPr>
          <w:b/>
          <w:bCs/>
          <w:i/>
          <w:iCs/>
          <w:sz w:val="20"/>
          <w:szCs w:val="20"/>
        </w:rPr>
        <w:t>preeminent</w:t>
      </w:r>
      <w:r>
        <w:rPr>
          <w:sz w:val="20"/>
          <w:szCs w:val="20"/>
        </w:rPr>
        <w:t xml:space="preserve"> among the other sons (</w:t>
      </w:r>
      <w:r w:rsidR="00A33B91">
        <w:rPr>
          <w:sz w:val="20"/>
          <w:szCs w:val="20"/>
        </w:rPr>
        <w:t xml:space="preserve">cf. </w:t>
      </w:r>
      <w:r>
        <w:rPr>
          <w:sz w:val="20"/>
          <w:szCs w:val="20"/>
        </w:rPr>
        <w:t>Ex.4:22; Hos.11:1). Hence, as the King of Israel, David was God’s “</w:t>
      </w:r>
      <w:r w:rsidR="00A33B91">
        <w:rPr>
          <w:sz w:val="20"/>
          <w:szCs w:val="20"/>
        </w:rPr>
        <w:t>firstborn</w:t>
      </w:r>
      <w:r w:rsidR="000A140D">
        <w:rPr>
          <w:sz w:val="20"/>
          <w:szCs w:val="20"/>
        </w:rPr>
        <w:t>”</w:t>
      </w:r>
      <w:r w:rsidR="00A33B91">
        <w:rPr>
          <w:sz w:val="20"/>
          <w:szCs w:val="20"/>
        </w:rPr>
        <w:t xml:space="preserve"> son </w:t>
      </w:r>
      <w:r>
        <w:rPr>
          <w:sz w:val="20"/>
          <w:szCs w:val="20"/>
        </w:rPr>
        <w:t>in the sense that he was preeminent among all the kings of the earth</w:t>
      </w:r>
      <w:r w:rsidR="00A33B91" w:rsidRPr="00A33B91">
        <w:rPr>
          <w:sz w:val="20"/>
          <w:szCs w:val="20"/>
        </w:rPr>
        <w:t xml:space="preserve"> </w:t>
      </w:r>
      <w:r w:rsidR="00A33B91">
        <w:rPr>
          <w:sz w:val="20"/>
          <w:szCs w:val="20"/>
        </w:rPr>
        <w:t>(Ps.89:27)</w:t>
      </w:r>
      <w:r>
        <w:rPr>
          <w:sz w:val="20"/>
          <w:szCs w:val="20"/>
        </w:rPr>
        <w:t>.</w:t>
      </w:r>
      <w:r w:rsidR="008F2BEB">
        <w:rPr>
          <w:sz w:val="20"/>
          <w:szCs w:val="20"/>
        </w:rPr>
        <w:t xml:space="preserve"> </w:t>
      </w:r>
      <w:r>
        <w:rPr>
          <w:sz w:val="20"/>
          <w:szCs w:val="20"/>
        </w:rPr>
        <w:t>The kingdom of Israel was</w:t>
      </w:r>
      <w:r w:rsidR="00EE6C13">
        <w:rPr>
          <w:sz w:val="20"/>
          <w:szCs w:val="20"/>
        </w:rPr>
        <w:t xml:space="preserve"> God’s kingdom at th</w:t>
      </w:r>
      <w:r w:rsidR="003F1B3E">
        <w:rPr>
          <w:sz w:val="20"/>
          <w:szCs w:val="20"/>
        </w:rPr>
        <w:t>e</w:t>
      </w:r>
      <w:r w:rsidR="00EE6C13">
        <w:rPr>
          <w:sz w:val="20"/>
          <w:szCs w:val="20"/>
        </w:rPr>
        <w:t xml:space="preserve"> time (</w:t>
      </w:r>
      <w:r w:rsidR="003F1B3E">
        <w:rPr>
          <w:sz w:val="20"/>
          <w:szCs w:val="20"/>
        </w:rPr>
        <w:t xml:space="preserve">cf. </w:t>
      </w:r>
      <w:r w:rsidR="00EE6C13">
        <w:rPr>
          <w:sz w:val="20"/>
          <w:szCs w:val="20"/>
        </w:rPr>
        <w:t>Ex.19:6), and served as a type and shadow of that great spiritual kingdom to come (Dn.2:44; Jn.18:36).</w:t>
      </w:r>
      <w:r w:rsidR="003571A0">
        <w:rPr>
          <w:sz w:val="20"/>
          <w:szCs w:val="20"/>
        </w:rPr>
        <w:t xml:space="preserve"> Initially, the second Psalm could be seen as a song for David’s inaugura</w:t>
      </w:r>
      <w:r w:rsidR="000E760D">
        <w:rPr>
          <w:sz w:val="20"/>
          <w:szCs w:val="20"/>
        </w:rPr>
        <w:t>tion</w:t>
      </w:r>
      <w:r w:rsidR="003571A0">
        <w:rPr>
          <w:sz w:val="20"/>
          <w:szCs w:val="20"/>
        </w:rPr>
        <w:t xml:space="preserve"> as King over Israel. </w:t>
      </w:r>
    </w:p>
    <w:p w14:paraId="2154A303" w14:textId="77777777" w:rsidR="003571A0" w:rsidRDefault="003571A0" w:rsidP="008607DC">
      <w:pPr>
        <w:spacing w:after="0" w:line="276" w:lineRule="auto"/>
        <w:jc w:val="both"/>
        <w:rPr>
          <w:sz w:val="20"/>
          <w:szCs w:val="20"/>
        </w:rPr>
      </w:pPr>
    </w:p>
    <w:p w14:paraId="5C75FA80" w14:textId="158278EE" w:rsidR="00624FB4" w:rsidRDefault="003571A0" w:rsidP="008607DC">
      <w:pPr>
        <w:spacing w:after="0" w:line="276" w:lineRule="auto"/>
        <w:jc w:val="both"/>
        <w:rPr>
          <w:sz w:val="20"/>
          <w:szCs w:val="20"/>
        </w:rPr>
      </w:pPr>
      <w:r>
        <w:rPr>
          <w:sz w:val="20"/>
          <w:szCs w:val="20"/>
        </w:rPr>
        <w:t xml:space="preserve">However, it should also be noted that David is </w:t>
      </w:r>
      <w:r w:rsidR="000E760D">
        <w:rPr>
          <w:sz w:val="20"/>
          <w:szCs w:val="20"/>
        </w:rPr>
        <w:t>NOT</w:t>
      </w:r>
      <w:r>
        <w:rPr>
          <w:sz w:val="20"/>
          <w:szCs w:val="20"/>
        </w:rPr>
        <w:t xml:space="preserve"> “the Son of God” </w:t>
      </w:r>
      <w:r w:rsidRPr="000E760D">
        <w:rPr>
          <w:b/>
          <w:bCs/>
          <w:i/>
          <w:iCs/>
          <w:sz w:val="20"/>
          <w:szCs w:val="20"/>
        </w:rPr>
        <w:t>in the same sense</w:t>
      </w:r>
      <w:r>
        <w:rPr>
          <w:sz w:val="20"/>
          <w:szCs w:val="20"/>
        </w:rPr>
        <w:t xml:space="preserve"> that Jesus is! For example, David is not Divine, </w:t>
      </w:r>
      <w:r w:rsidR="003F1B3E">
        <w:rPr>
          <w:sz w:val="20"/>
          <w:szCs w:val="20"/>
        </w:rPr>
        <w:t>as</w:t>
      </w:r>
      <w:r>
        <w:rPr>
          <w:sz w:val="20"/>
          <w:szCs w:val="20"/>
        </w:rPr>
        <w:t xml:space="preserve"> Jesus is. David’s kingdom was physical, and not spiritual. And David’s kingdom came to an end. By contrast, Jesus is Divine (Jn.1:1). His kingdom is spiritual (Lk.17:20-21). And His kingdom will never end (Hb.12:28).</w:t>
      </w:r>
      <w:r w:rsidR="00A45EB0">
        <w:rPr>
          <w:sz w:val="20"/>
          <w:szCs w:val="20"/>
        </w:rPr>
        <w:t xml:space="preserve">  Further, David was begotten by </w:t>
      </w:r>
      <w:r w:rsidR="00BD02C2">
        <w:rPr>
          <w:sz w:val="20"/>
          <w:szCs w:val="20"/>
        </w:rPr>
        <w:t>an</w:t>
      </w:r>
      <w:r w:rsidR="00A45EB0">
        <w:rPr>
          <w:sz w:val="20"/>
          <w:szCs w:val="20"/>
        </w:rPr>
        <w:t xml:space="preserve"> earthly father</w:t>
      </w:r>
      <w:r w:rsidR="00BD02C2">
        <w:rPr>
          <w:sz w:val="20"/>
          <w:szCs w:val="20"/>
        </w:rPr>
        <w:t xml:space="preserve"> (Jesse)</w:t>
      </w:r>
      <w:r w:rsidR="00A33B91">
        <w:rPr>
          <w:sz w:val="20"/>
          <w:szCs w:val="20"/>
        </w:rPr>
        <w:t>;</w:t>
      </w:r>
      <w:r w:rsidR="00A45EB0">
        <w:rPr>
          <w:sz w:val="20"/>
          <w:szCs w:val="20"/>
        </w:rPr>
        <w:t xml:space="preserve"> while Jesus </w:t>
      </w:r>
      <w:r w:rsidR="00BD02C2">
        <w:rPr>
          <w:sz w:val="20"/>
          <w:szCs w:val="20"/>
        </w:rPr>
        <w:t xml:space="preserve">had no earthly father </w:t>
      </w:r>
      <w:r w:rsidR="00A45EB0">
        <w:rPr>
          <w:sz w:val="20"/>
          <w:szCs w:val="20"/>
        </w:rPr>
        <w:t>(</w:t>
      </w:r>
      <w:r w:rsidR="00BD02C2">
        <w:rPr>
          <w:sz w:val="20"/>
          <w:szCs w:val="20"/>
        </w:rPr>
        <w:t>cf. Lk.3:23</w:t>
      </w:r>
      <w:r w:rsidR="00A45EB0">
        <w:rPr>
          <w:sz w:val="20"/>
          <w:szCs w:val="20"/>
        </w:rPr>
        <w:t>).</w:t>
      </w:r>
      <w:r>
        <w:rPr>
          <w:sz w:val="20"/>
          <w:szCs w:val="20"/>
        </w:rPr>
        <w:t xml:space="preserve"> Nevertheless, the similarities are enough to </w:t>
      </w:r>
      <w:r w:rsidR="000E760D">
        <w:rPr>
          <w:sz w:val="20"/>
          <w:szCs w:val="20"/>
        </w:rPr>
        <w:t>make the words of Psalm 2 applicable to both David and Jesus. Indeed, this is a clear mark of the Divine inspiration of the Scriptures</w:t>
      </w:r>
      <w:r w:rsidR="003F1B3E">
        <w:rPr>
          <w:sz w:val="20"/>
          <w:szCs w:val="20"/>
        </w:rPr>
        <w:t>!</w:t>
      </w:r>
      <w:r w:rsidR="000E760D">
        <w:rPr>
          <w:sz w:val="20"/>
          <w:szCs w:val="20"/>
        </w:rPr>
        <w:t xml:space="preserve"> God was able to providentially </w:t>
      </w:r>
      <w:r w:rsidR="008B2695">
        <w:rPr>
          <w:sz w:val="20"/>
          <w:szCs w:val="20"/>
        </w:rPr>
        <w:t>manipulate</w:t>
      </w:r>
      <w:r w:rsidR="000E760D">
        <w:rPr>
          <w:sz w:val="20"/>
          <w:szCs w:val="20"/>
        </w:rPr>
        <w:t xml:space="preserve"> the history of Israel to “mirror” the life and work of Jesus, as a kind of prophetic foreshadowing (cf. Hb.10:1).</w:t>
      </w:r>
    </w:p>
    <w:p w14:paraId="1520310B" w14:textId="0F06207B" w:rsidR="00E97FB3" w:rsidRDefault="00E97FB3" w:rsidP="008607DC">
      <w:pPr>
        <w:spacing w:after="0" w:line="276" w:lineRule="auto"/>
        <w:jc w:val="both"/>
        <w:rPr>
          <w:sz w:val="20"/>
          <w:szCs w:val="20"/>
        </w:rPr>
      </w:pPr>
    </w:p>
    <w:p w14:paraId="7918CBF9" w14:textId="0A6A3B04" w:rsidR="00E97FB3" w:rsidRDefault="00E97FB3" w:rsidP="008607DC">
      <w:pPr>
        <w:spacing w:after="0" w:line="276" w:lineRule="auto"/>
        <w:jc w:val="both"/>
        <w:rPr>
          <w:sz w:val="20"/>
          <w:szCs w:val="20"/>
        </w:rPr>
      </w:pPr>
      <w:r>
        <w:rPr>
          <w:sz w:val="20"/>
          <w:szCs w:val="20"/>
        </w:rPr>
        <w:t xml:space="preserve">Now, let us notice the specific application of Psalm 2:7 to Jesus: </w:t>
      </w:r>
      <w:r w:rsidRPr="00E97FB3">
        <w:rPr>
          <w:sz w:val="20"/>
          <w:szCs w:val="20"/>
        </w:rPr>
        <w:t>“I will declare the decree: The Lord has said to Me, ‘You are My Son, Today I have begotten You.’”</w:t>
      </w:r>
      <w:r>
        <w:rPr>
          <w:sz w:val="20"/>
          <w:szCs w:val="20"/>
        </w:rPr>
        <w:t xml:space="preserve"> Notice several things. If the language here has any meaning at all, we see </w:t>
      </w:r>
      <w:r w:rsidRPr="00E97FB3">
        <w:rPr>
          <w:b/>
          <w:bCs/>
          <w:i/>
          <w:iCs/>
          <w:sz w:val="20"/>
          <w:szCs w:val="20"/>
        </w:rPr>
        <w:t>a Father</w:t>
      </w:r>
      <w:r>
        <w:rPr>
          <w:sz w:val="20"/>
          <w:szCs w:val="20"/>
        </w:rPr>
        <w:t xml:space="preserve"> (“Yahweh has said to me”), </w:t>
      </w:r>
      <w:r w:rsidRPr="00E97FB3">
        <w:rPr>
          <w:b/>
          <w:bCs/>
          <w:i/>
          <w:iCs/>
          <w:sz w:val="20"/>
          <w:szCs w:val="20"/>
        </w:rPr>
        <w:t>a Son</w:t>
      </w:r>
      <w:r>
        <w:rPr>
          <w:sz w:val="20"/>
          <w:szCs w:val="20"/>
        </w:rPr>
        <w:t xml:space="preserve"> (“You are My Son), </w:t>
      </w:r>
      <w:r w:rsidRPr="00E97FB3">
        <w:rPr>
          <w:b/>
          <w:bCs/>
          <w:i/>
          <w:iCs/>
          <w:sz w:val="20"/>
          <w:szCs w:val="20"/>
        </w:rPr>
        <w:t>a day</w:t>
      </w:r>
      <w:r>
        <w:rPr>
          <w:sz w:val="20"/>
          <w:szCs w:val="20"/>
        </w:rPr>
        <w:t xml:space="preserve"> (“Today”), and </w:t>
      </w:r>
      <w:r w:rsidRPr="00E97FB3">
        <w:rPr>
          <w:b/>
          <w:bCs/>
          <w:i/>
          <w:iCs/>
          <w:sz w:val="20"/>
          <w:szCs w:val="20"/>
        </w:rPr>
        <w:t>a begettal</w:t>
      </w:r>
      <w:r>
        <w:rPr>
          <w:sz w:val="20"/>
          <w:szCs w:val="20"/>
        </w:rPr>
        <w:t xml:space="preserve"> (“I have begotten you”). This clearly shows that the “Sonship” of the eternal Word began at a specific time! Notice: “In the beginning was the Word, and the Word was with God, and the Word was God… </w:t>
      </w:r>
      <w:r w:rsidRPr="00E97FB3">
        <w:rPr>
          <w:b/>
          <w:bCs/>
          <w:i/>
          <w:iCs/>
          <w:sz w:val="20"/>
          <w:szCs w:val="20"/>
        </w:rPr>
        <w:t>And the Word became flesh,</w:t>
      </w:r>
      <w:r>
        <w:rPr>
          <w:sz w:val="20"/>
          <w:szCs w:val="20"/>
        </w:rPr>
        <w:t xml:space="preserve"> and dwelt among us” (Jn.1:1,14). It was at this time (His incarnation) that the eternal Word </w:t>
      </w:r>
      <w:r w:rsidRPr="003F1B3E">
        <w:rPr>
          <w:b/>
          <w:bCs/>
          <w:i/>
          <w:iCs/>
          <w:sz w:val="20"/>
          <w:szCs w:val="20"/>
        </w:rPr>
        <w:t>became</w:t>
      </w:r>
      <w:r>
        <w:rPr>
          <w:sz w:val="20"/>
          <w:szCs w:val="20"/>
        </w:rPr>
        <w:t xml:space="preserve"> </w:t>
      </w:r>
      <w:r w:rsidR="000A140D">
        <w:rPr>
          <w:sz w:val="20"/>
          <w:szCs w:val="20"/>
        </w:rPr>
        <w:t>“</w:t>
      </w:r>
      <w:r>
        <w:rPr>
          <w:sz w:val="20"/>
          <w:szCs w:val="20"/>
        </w:rPr>
        <w:t xml:space="preserve">the </w:t>
      </w:r>
      <w:r w:rsidR="003F1B3E">
        <w:rPr>
          <w:sz w:val="20"/>
          <w:szCs w:val="20"/>
        </w:rPr>
        <w:t>Son</w:t>
      </w:r>
      <w:r>
        <w:rPr>
          <w:sz w:val="20"/>
          <w:szCs w:val="20"/>
        </w:rPr>
        <w:t xml:space="preserve"> of God!</w:t>
      </w:r>
      <w:r w:rsidR="000A140D">
        <w:rPr>
          <w:sz w:val="20"/>
          <w:szCs w:val="20"/>
        </w:rPr>
        <w:t>”</w:t>
      </w:r>
      <w:r>
        <w:rPr>
          <w:sz w:val="20"/>
          <w:szCs w:val="20"/>
        </w:rPr>
        <w:t xml:space="preserve"> This harmonizes very nicely with Luke 1:35, which says, </w:t>
      </w:r>
      <w:r w:rsidRPr="00A45EB0">
        <w:rPr>
          <w:i/>
          <w:iCs/>
          <w:sz w:val="20"/>
          <w:szCs w:val="20"/>
        </w:rPr>
        <w:t xml:space="preserve">“And the angel answered and said to her (Mary), “The Holy Spirit </w:t>
      </w:r>
      <w:r w:rsidRPr="00A45EB0">
        <w:rPr>
          <w:b/>
          <w:bCs/>
          <w:i/>
          <w:iCs/>
          <w:sz w:val="20"/>
          <w:szCs w:val="20"/>
        </w:rPr>
        <w:t>will</w:t>
      </w:r>
      <w:r w:rsidRPr="00A45EB0">
        <w:rPr>
          <w:i/>
          <w:iCs/>
          <w:sz w:val="20"/>
          <w:szCs w:val="20"/>
        </w:rPr>
        <w:t xml:space="preserve"> </w:t>
      </w:r>
      <w:r w:rsidR="00A45EB0" w:rsidRPr="00A45EB0">
        <w:rPr>
          <w:i/>
          <w:iCs/>
          <w:sz w:val="20"/>
          <w:szCs w:val="20"/>
        </w:rPr>
        <w:t xml:space="preserve">(future tense) </w:t>
      </w:r>
      <w:r w:rsidRPr="00A45EB0">
        <w:rPr>
          <w:i/>
          <w:iCs/>
          <w:sz w:val="20"/>
          <w:szCs w:val="20"/>
        </w:rPr>
        <w:t xml:space="preserve">come upon you, and the power of the Highest </w:t>
      </w:r>
      <w:r w:rsidRPr="00A45EB0">
        <w:rPr>
          <w:b/>
          <w:bCs/>
          <w:i/>
          <w:iCs/>
          <w:sz w:val="20"/>
          <w:szCs w:val="20"/>
        </w:rPr>
        <w:t>will</w:t>
      </w:r>
      <w:r w:rsidRPr="00A45EB0">
        <w:rPr>
          <w:i/>
          <w:iCs/>
          <w:sz w:val="20"/>
          <w:szCs w:val="20"/>
        </w:rPr>
        <w:t xml:space="preserve"> </w:t>
      </w:r>
      <w:r w:rsidR="00A45EB0" w:rsidRPr="00A45EB0">
        <w:rPr>
          <w:i/>
          <w:iCs/>
          <w:sz w:val="20"/>
          <w:szCs w:val="20"/>
        </w:rPr>
        <w:t xml:space="preserve">(future tense) </w:t>
      </w:r>
      <w:r w:rsidRPr="00A45EB0">
        <w:rPr>
          <w:i/>
          <w:iCs/>
          <w:sz w:val="20"/>
          <w:szCs w:val="20"/>
        </w:rPr>
        <w:t xml:space="preserve">overshadow you; </w:t>
      </w:r>
      <w:r w:rsidR="00A45EB0" w:rsidRPr="00A45EB0">
        <w:rPr>
          <w:b/>
          <w:bCs/>
          <w:i/>
          <w:iCs/>
          <w:sz w:val="20"/>
          <w:szCs w:val="20"/>
        </w:rPr>
        <w:t>THEREFORE</w:t>
      </w:r>
      <w:r w:rsidRPr="00A45EB0">
        <w:rPr>
          <w:b/>
          <w:bCs/>
          <w:i/>
          <w:iCs/>
          <w:sz w:val="20"/>
          <w:szCs w:val="20"/>
        </w:rPr>
        <w:t xml:space="preserve">, also, that Holy One who is to be born will </w:t>
      </w:r>
      <w:r w:rsidR="000A140D" w:rsidRPr="00A45EB0">
        <w:rPr>
          <w:i/>
          <w:iCs/>
          <w:sz w:val="20"/>
          <w:szCs w:val="20"/>
        </w:rPr>
        <w:t>(future tense)</w:t>
      </w:r>
      <w:r w:rsidR="000A140D" w:rsidRPr="00A45EB0">
        <w:rPr>
          <w:b/>
          <w:bCs/>
          <w:i/>
          <w:iCs/>
          <w:sz w:val="20"/>
          <w:szCs w:val="20"/>
        </w:rPr>
        <w:t xml:space="preserve"> </w:t>
      </w:r>
      <w:r w:rsidRPr="00A45EB0">
        <w:rPr>
          <w:b/>
          <w:bCs/>
          <w:i/>
          <w:iCs/>
          <w:sz w:val="20"/>
          <w:szCs w:val="20"/>
        </w:rPr>
        <w:t>be</w:t>
      </w:r>
      <w:r w:rsidR="000A140D">
        <w:rPr>
          <w:b/>
          <w:bCs/>
          <w:i/>
          <w:iCs/>
          <w:sz w:val="20"/>
          <w:szCs w:val="20"/>
        </w:rPr>
        <w:t xml:space="preserve"> </w:t>
      </w:r>
      <w:r w:rsidRPr="00A45EB0">
        <w:rPr>
          <w:b/>
          <w:bCs/>
          <w:i/>
          <w:iCs/>
          <w:sz w:val="20"/>
          <w:szCs w:val="20"/>
        </w:rPr>
        <w:t>called the Son of God.</w:t>
      </w:r>
      <w:r w:rsidR="00A45EB0">
        <w:rPr>
          <w:b/>
          <w:bCs/>
          <w:i/>
          <w:iCs/>
          <w:sz w:val="20"/>
          <w:szCs w:val="20"/>
        </w:rPr>
        <w:t>”</w:t>
      </w:r>
    </w:p>
    <w:p w14:paraId="38AA8ABF" w14:textId="01998A12" w:rsidR="00CE6EE2" w:rsidRDefault="00CE6EE2" w:rsidP="008607DC">
      <w:pPr>
        <w:spacing w:after="0" w:line="276" w:lineRule="auto"/>
        <w:jc w:val="both"/>
        <w:rPr>
          <w:sz w:val="20"/>
          <w:szCs w:val="20"/>
        </w:rPr>
      </w:pPr>
    </w:p>
    <w:p w14:paraId="7F8A34A1" w14:textId="611B3265" w:rsidR="008607DC" w:rsidRDefault="00CE6EE2" w:rsidP="008607DC">
      <w:pPr>
        <w:spacing w:after="0" w:line="276" w:lineRule="auto"/>
        <w:jc w:val="both"/>
        <w:rPr>
          <w:sz w:val="20"/>
          <w:szCs w:val="20"/>
        </w:rPr>
      </w:pPr>
      <w:r>
        <w:rPr>
          <w:sz w:val="20"/>
          <w:szCs w:val="20"/>
        </w:rPr>
        <w:t>I want to close by citing an interesting statement made be W. E. Vine with regard to this passage</w:t>
      </w:r>
      <w:r w:rsidR="008E003B">
        <w:rPr>
          <w:sz w:val="20"/>
          <w:szCs w:val="20"/>
        </w:rPr>
        <w:t xml:space="preserve"> as quoted by Paul in Ac.13:33</w:t>
      </w:r>
      <w:r w:rsidR="00A33B91">
        <w:rPr>
          <w:sz w:val="20"/>
          <w:szCs w:val="20"/>
        </w:rPr>
        <w:t xml:space="preserve"> (all emphasis mine)</w:t>
      </w:r>
      <w:r w:rsidR="000A140D">
        <w:rPr>
          <w:sz w:val="20"/>
          <w:szCs w:val="20"/>
        </w:rPr>
        <w:t>:</w:t>
      </w:r>
      <w:r w:rsidR="008E003B">
        <w:rPr>
          <w:sz w:val="20"/>
          <w:szCs w:val="20"/>
        </w:rPr>
        <w:t xml:space="preserve"> </w:t>
      </w:r>
      <w:r w:rsidR="008E003B" w:rsidRPr="000A140D">
        <w:rPr>
          <w:b/>
          <w:bCs/>
          <w:i/>
          <w:iCs/>
          <w:sz w:val="20"/>
          <w:szCs w:val="20"/>
        </w:rPr>
        <w:t xml:space="preserve">“The declaration "Thou art My Son, this day have I begotten Thee," Ps 2:7, quoted in Acts 13:33; Heb 1:5; 5:5, refers to the </w:t>
      </w:r>
      <w:r w:rsidR="008E003B" w:rsidRPr="000A140D">
        <w:rPr>
          <w:b/>
          <w:bCs/>
          <w:i/>
          <w:iCs/>
          <w:sz w:val="20"/>
          <w:szCs w:val="20"/>
          <w:u w:val="single"/>
        </w:rPr>
        <w:t>birth</w:t>
      </w:r>
      <w:r w:rsidR="008E003B" w:rsidRPr="000A140D">
        <w:rPr>
          <w:b/>
          <w:bCs/>
          <w:i/>
          <w:iCs/>
          <w:sz w:val="20"/>
          <w:szCs w:val="20"/>
        </w:rPr>
        <w:t xml:space="preserve"> of Christ, not to His resurrection.</w:t>
      </w:r>
      <w:r w:rsidR="008E003B" w:rsidRPr="000A140D">
        <w:rPr>
          <w:i/>
          <w:iCs/>
          <w:sz w:val="20"/>
          <w:szCs w:val="20"/>
        </w:rPr>
        <w:t xml:space="preserve"> In Acts 13:33 the verb "raise up" is used of the raising up of a person to occupy a special position in the nation, as of David in verse 22 (so of Christ as a Prophet in 3:22 and 7:37). The word "again" in the KJV in v. 33 represents nothing in the original. The RV rightly omits it. In v. 34 the statement as to the resurrection of Christ receives the greater stress in this respect through the emphatic contrast to that in v. 33 as to His being raised up in the nation, a stress imparted by the added words "from the dead.</w:t>
      </w:r>
      <w:r w:rsidR="008E003B" w:rsidRPr="000A140D">
        <w:rPr>
          <w:b/>
          <w:bCs/>
          <w:i/>
          <w:iCs/>
          <w:sz w:val="20"/>
          <w:szCs w:val="20"/>
        </w:rPr>
        <w:t xml:space="preserve">" Accordingly, v. 33 speaks of His incarnation, </w:t>
      </w:r>
      <w:r w:rsidR="008E003B" w:rsidRPr="000A140D">
        <w:rPr>
          <w:i/>
          <w:iCs/>
          <w:sz w:val="20"/>
          <w:szCs w:val="20"/>
        </w:rPr>
        <w:t>v. 34 of His resurrection.”</w:t>
      </w:r>
      <w:r w:rsidR="000A140D">
        <w:rPr>
          <w:sz w:val="20"/>
          <w:szCs w:val="20"/>
        </w:rPr>
        <w:t xml:space="preserve"> </w:t>
      </w:r>
      <w:r w:rsidR="008E003B">
        <w:rPr>
          <w:sz w:val="20"/>
          <w:szCs w:val="20"/>
        </w:rPr>
        <w:t xml:space="preserve">The bottom line is that </w:t>
      </w:r>
      <w:r w:rsidR="000A140D">
        <w:rPr>
          <w:sz w:val="20"/>
          <w:szCs w:val="20"/>
        </w:rPr>
        <w:t>He who</w:t>
      </w:r>
      <w:r w:rsidR="008E003B">
        <w:rPr>
          <w:sz w:val="20"/>
          <w:szCs w:val="20"/>
        </w:rPr>
        <w:t xml:space="preserve"> has forever been the Divine </w:t>
      </w:r>
      <w:r w:rsidR="00A33B91">
        <w:rPr>
          <w:sz w:val="20"/>
          <w:szCs w:val="20"/>
        </w:rPr>
        <w:t>“</w:t>
      </w:r>
      <w:r w:rsidR="008E003B">
        <w:rPr>
          <w:sz w:val="20"/>
          <w:szCs w:val="20"/>
        </w:rPr>
        <w:t>Word</w:t>
      </w:r>
      <w:r w:rsidR="00A33B91">
        <w:rPr>
          <w:sz w:val="20"/>
          <w:szCs w:val="20"/>
        </w:rPr>
        <w:t>”</w:t>
      </w:r>
      <w:r w:rsidR="008E003B">
        <w:rPr>
          <w:sz w:val="20"/>
          <w:szCs w:val="20"/>
        </w:rPr>
        <w:t xml:space="preserve"> (Jn.1:1)</w:t>
      </w:r>
      <w:r w:rsidR="000A140D">
        <w:rPr>
          <w:sz w:val="20"/>
          <w:szCs w:val="20"/>
        </w:rPr>
        <w:t xml:space="preserve"> </w:t>
      </w:r>
      <w:r w:rsidR="008E003B">
        <w:rPr>
          <w:sz w:val="20"/>
          <w:szCs w:val="20"/>
        </w:rPr>
        <w:t>became “the Son of God” at His incarnation (</w:t>
      </w:r>
      <w:r w:rsidR="008607DC">
        <w:rPr>
          <w:sz w:val="20"/>
          <w:szCs w:val="20"/>
        </w:rPr>
        <w:t>v.</w:t>
      </w:r>
      <w:r w:rsidR="008E003B">
        <w:rPr>
          <w:sz w:val="20"/>
          <w:szCs w:val="20"/>
        </w:rPr>
        <w:t xml:space="preserve">14; </w:t>
      </w:r>
      <w:r w:rsidR="008607DC">
        <w:rPr>
          <w:sz w:val="20"/>
          <w:szCs w:val="20"/>
        </w:rPr>
        <w:t xml:space="preserve">cf. </w:t>
      </w:r>
      <w:r w:rsidR="008E003B">
        <w:rPr>
          <w:sz w:val="20"/>
          <w:szCs w:val="20"/>
        </w:rPr>
        <w:t>Lk.1:35).</w:t>
      </w:r>
      <w:r w:rsidR="008607DC">
        <w:rPr>
          <w:sz w:val="20"/>
          <w:szCs w:val="20"/>
        </w:rPr>
        <w:t xml:space="preserve"> The title, “Son of God,” as applied to Jesus, refers to His incarnation</w:t>
      </w:r>
      <w:r w:rsidR="004859BD">
        <w:rPr>
          <w:sz w:val="20"/>
          <w:szCs w:val="20"/>
        </w:rPr>
        <w:t xml:space="preserve"> (cf. Jn.3:16)</w:t>
      </w:r>
      <w:r w:rsidR="008607DC">
        <w:rPr>
          <w:sz w:val="20"/>
          <w:szCs w:val="20"/>
        </w:rPr>
        <w:t>.</w:t>
      </w:r>
    </w:p>
    <w:p w14:paraId="32C63495" w14:textId="78DBFAA9" w:rsidR="000A140D" w:rsidRDefault="000A140D" w:rsidP="008607DC">
      <w:pPr>
        <w:spacing w:after="0" w:line="276" w:lineRule="auto"/>
        <w:jc w:val="both"/>
        <w:rPr>
          <w:sz w:val="20"/>
          <w:szCs w:val="20"/>
        </w:rPr>
      </w:pPr>
    </w:p>
    <w:p w14:paraId="2E8CAC3E" w14:textId="49660FA3" w:rsidR="008E003B" w:rsidRDefault="008607DC" w:rsidP="008607DC">
      <w:pPr>
        <w:spacing w:after="0" w:line="276" w:lineRule="auto"/>
        <w:jc w:val="right"/>
        <w:rPr>
          <w:sz w:val="20"/>
          <w:szCs w:val="20"/>
        </w:rPr>
      </w:pPr>
      <w:r>
        <w:rPr>
          <w:sz w:val="20"/>
          <w:szCs w:val="20"/>
        </w:rPr>
        <w:t>--Lanny Smith</w:t>
      </w:r>
    </w:p>
    <w:sectPr w:rsidR="008E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EB"/>
    <w:rsid w:val="000A140D"/>
    <w:rsid w:val="000E760D"/>
    <w:rsid w:val="002B186E"/>
    <w:rsid w:val="003571A0"/>
    <w:rsid w:val="003F1B3E"/>
    <w:rsid w:val="004859BD"/>
    <w:rsid w:val="00624FB4"/>
    <w:rsid w:val="008607DC"/>
    <w:rsid w:val="008B2695"/>
    <w:rsid w:val="008E003B"/>
    <w:rsid w:val="008F2BEB"/>
    <w:rsid w:val="00A33B91"/>
    <w:rsid w:val="00A45EB0"/>
    <w:rsid w:val="00B61F41"/>
    <w:rsid w:val="00BD02C2"/>
    <w:rsid w:val="00CE6EE2"/>
    <w:rsid w:val="00E97FB3"/>
    <w:rsid w:val="00EE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51BA"/>
  <w15:chartTrackingRefBased/>
  <w15:docId w15:val="{CC72E930-05E0-4FAC-B5DE-E833637C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BEB"/>
    <w:rPr>
      <w:color w:val="0563C1" w:themeColor="hyperlink"/>
      <w:u w:val="single"/>
    </w:rPr>
  </w:style>
  <w:style w:type="character" w:styleId="UnresolvedMention">
    <w:name w:val="Unresolved Mention"/>
    <w:basedOn w:val="DefaultParagraphFont"/>
    <w:uiPriority w:val="99"/>
    <w:semiHidden/>
    <w:unhideWhenUsed/>
    <w:rsid w:val="008F2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7</cp:revision>
  <dcterms:created xsi:type="dcterms:W3CDTF">2021-02-09T18:19:00Z</dcterms:created>
  <dcterms:modified xsi:type="dcterms:W3CDTF">2021-02-09T20:46:00Z</dcterms:modified>
</cp:coreProperties>
</file>